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028A68">
      <w:pPr>
        <w:spacing w:line="560" w:lineRule="exact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b/>
          <w:bCs/>
          <w:sz w:val="32"/>
          <w:szCs w:val="32"/>
        </w:rPr>
        <w:t>附件</w:t>
      </w:r>
      <w:r>
        <w:rPr>
          <w:rFonts w:ascii="仿宋_GB2312" w:hAnsi="Calibri" w:eastAsia="仿宋_GB2312" w:cs="Times New Roman"/>
          <w:b/>
          <w:bCs/>
          <w:sz w:val="32"/>
          <w:szCs w:val="32"/>
        </w:rPr>
        <w:t>1</w:t>
      </w:r>
      <w:r>
        <w:rPr>
          <w:rFonts w:hint="eastAsia" w:ascii="仿宋_GB2312" w:hAnsi="Calibri" w:eastAsia="仿宋_GB2312" w:cs="Times New Roman"/>
          <w:b/>
          <w:bCs/>
          <w:sz w:val="32"/>
          <w:szCs w:val="32"/>
        </w:rPr>
        <w:t>：各</w:t>
      </w:r>
      <w:r>
        <w:rPr>
          <w:rFonts w:hint="eastAsia" w:ascii="仿宋_GB2312" w:hAnsi="Calibri" w:eastAsia="仿宋_GB2312" w:cs="Times New Roman"/>
          <w:b/>
          <w:bCs/>
          <w:sz w:val="32"/>
          <w:szCs w:val="32"/>
          <w:lang w:val="en-US" w:eastAsia="zh-CN"/>
        </w:rPr>
        <w:t>二级</w:t>
      </w:r>
      <w:r>
        <w:rPr>
          <w:rFonts w:hint="eastAsia" w:ascii="仿宋_GB2312" w:hAnsi="Calibri" w:eastAsia="仿宋_GB2312" w:cs="Times New Roman"/>
          <w:b/>
          <w:bCs/>
          <w:sz w:val="32"/>
          <w:szCs w:val="32"/>
        </w:rPr>
        <w:t>学院参加升旗</w:t>
      </w:r>
      <w:r>
        <w:rPr>
          <w:rFonts w:hint="eastAsia" w:ascii="仿宋_GB2312" w:hAnsi="Calibri" w:eastAsia="仿宋_GB2312" w:cs="Times New Roman"/>
          <w:b/>
          <w:bCs/>
          <w:sz w:val="32"/>
          <w:szCs w:val="32"/>
          <w:lang w:val="en-US" w:eastAsia="zh-CN"/>
        </w:rPr>
        <w:t>学生</w:t>
      </w:r>
      <w:r>
        <w:rPr>
          <w:rFonts w:hint="eastAsia" w:ascii="仿宋_GB2312" w:hAnsi="Calibri" w:eastAsia="仿宋_GB2312" w:cs="Times New Roman"/>
          <w:b/>
          <w:bCs/>
          <w:sz w:val="32"/>
          <w:szCs w:val="32"/>
        </w:rPr>
        <w:t>人数安排</w:t>
      </w:r>
    </w:p>
    <w:p w14:paraId="7D7C9D24">
      <w:pPr>
        <w:tabs>
          <w:tab w:val="left" w:pos="1791"/>
        </w:tabs>
        <w:spacing w:line="560" w:lineRule="exact"/>
        <w:rPr>
          <w:rFonts w:hint="eastAsia" w:ascii="黑体" w:hAnsi="黑体" w:eastAsia="仿宋_GB2312" w:cs="Times New Roman"/>
          <w:b/>
          <w:bCs/>
          <w:sz w:val="32"/>
          <w:szCs w:val="32"/>
        </w:rPr>
      </w:pPr>
    </w:p>
    <w:tbl>
      <w:tblPr>
        <w:tblStyle w:val="3"/>
        <w:tblpPr w:leftFromText="180" w:rightFromText="180" w:vertAnchor="page" w:horzAnchor="page" w:tblpX="1262" w:tblpY="2389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1"/>
        <w:gridCol w:w="3534"/>
        <w:gridCol w:w="2204"/>
        <w:gridCol w:w="2205"/>
      </w:tblGrid>
      <w:tr w14:paraId="7537D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F56A1">
            <w:pPr>
              <w:spacing w:line="340" w:lineRule="exact"/>
              <w:jc w:val="center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1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678AE">
            <w:pPr>
              <w:spacing w:line="340" w:lineRule="exact"/>
              <w:jc w:val="center"/>
              <w:rPr>
                <w:rFonts w:ascii="仿宋_GB2312" w:hAnsi="黑体" w:eastAsia="仿宋_GB2312" w:cs="Times New Roman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单位</w:t>
            </w:r>
          </w:p>
        </w:tc>
        <w:tc>
          <w:tcPr>
            <w:tcW w:w="11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1BA8C">
            <w:pPr>
              <w:spacing w:line="340" w:lineRule="exact"/>
              <w:jc w:val="center"/>
              <w:rPr>
                <w:rFonts w:ascii="仿宋_GB2312" w:hAnsi="微软雅黑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参加升旗人数</w:t>
            </w:r>
          </w:p>
        </w:tc>
        <w:tc>
          <w:tcPr>
            <w:tcW w:w="11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BB241">
            <w:pPr>
              <w:spacing w:line="340" w:lineRule="exact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队列数</w:t>
            </w:r>
          </w:p>
        </w:tc>
      </w:tr>
      <w:tr w14:paraId="7BADF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6CDD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2858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马克思主义学院</w:t>
            </w:r>
          </w:p>
        </w:tc>
        <w:tc>
          <w:tcPr>
            <w:tcW w:w="11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603B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6"/>
                <w:szCs w:val="3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200</w:t>
            </w:r>
          </w:p>
        </w:tc>
        <w:tc>
          <w:tcPr>
            <w:tcW w:w="11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DE93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</w:tr>
      <w:tr w14:paraId="642AF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3A29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D7A1F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教育科学学院</w:t>
            </w:r>
          </w:p>
        </w:tc>
        <w:tc>
          <w:tcPr>
            <w:tcW w:w="11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34077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400</w:t>
            </w:r>
          </w:p>
        </w:tc>
        <w:tc>
          <w:tcPr>
            <w:tcW w:w="11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FAE8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</w:tr>
      <w:tr w14:paraId="6BD90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D329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FE9A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体育学院</w:t>
            </w:r>
          </w:p>
        </w:tc>
        <w:tc>
          <w:tcPr>
            <w:tcW w:w="11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374D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6"/>
                <w:szCs w:val="3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300</w:t>
            </w:r>
          </w:p>
        </w:tc>
        <w:tc>
          <w:tcPr>
            <w:tcW w:w="11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F163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</w:tr>
      <w:tr w14:paraId="5F5DE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9C7E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40F4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文学院</w:t>
            </w:r>
          </w:p>
        </w:tc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365F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500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DE5E7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</w:tr>
      <w:tr w14:paraId="29402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1D73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243C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外国语学院</w:t>
            </w:r>
          </w:p>
        </w:tc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10EA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6"/>
                <w:szCs w:val="3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500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FA5F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</w:tr>
      <w:tr w14:paraId="388CE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AF56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1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2C9D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新闻与传播学院</w:t>
            </w:r>
          </w:p>
        </w:tc>
        <w:tc>
          <w:tcPr>
            <w:tcW w:w="11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3C98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300</w:t>
            </w:r>
          </w:p>
        </w:tc>
        <w:tc>
          <w:tcPr>
            <w:tcW w:w="11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BCD56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</w:tr>
      <w:tr w14:paraId="50F55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C8CD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1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BCA9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数学与统计学院</w:t>
            </w:r>
          </w:p>
        </w:tc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7E6A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500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9821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</w:tr>
      <w:tr w14:paraId="183DE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F6E5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1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9984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光电信息工程学院</w:t>
            </w:r>
          </w:p>
        </w:tc>
        <w:tc>
          <w:tcPr>
            <w:tcW w:w="11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4C8FA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700</w:t>
            </w:r>
          </w:p>
        </w:tc>
        <w:tc>
          <w:tcPr>
            <w:tcW w:w="11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9854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7</w:t>
            </w:r>
          </w:p>
        </w:tc>
      </w:tr>
      <w:tr w14:paraId="45A9A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6793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1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6FAE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化学与生命科学学院</w:t>
            </w:r>
          </w:p>
        </w:tc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8889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400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FB7E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</w:tr>
      <w:tr w14:paraId="2BE0F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39AA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1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B220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新能源材料学院</w:t>
            </w:r>
          </w:p>
        </w:tc>
        <w:tc>
          <w:tcPr>
            <w:tcW w:w="11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FA056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200</w:t>
            </w:r>
          </w:p>
        </w:tc>
        <w:tc>
          <w:tcPr>
            <w:tcW w:w="11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9192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</w:tr>
      <w:tr w14:paraId="334BE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A153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1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BC4D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城市建设与安全工程学院</w:t>
            </w:r>
          </w:p>
        </w:tc>
        <w:tc>
          <w:tcPr>
            <w:tcW w:w="11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6E26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300</w:t>
            </w:r>
          </w:p>
        </w:tc>
        <w:tc>
          <w:tcPr>
            <w:tcW w:w="11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0BED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</w:tr>
      <w:tr w14:paraId="38E3D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54B68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1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C4CD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计算机与人工智能学院</w:t>
            </w:r>
          </w:p>
        </w:tc>
        <w:tc>
          <w:tcPr>
            <w:tcW w:w="11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EC757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800</w:t>
            </w:r>
          </w:p>
        </w:tc>
        <w:tc>
          <w:tcPr>
            <w:tcW w:w="11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A9792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8</w:t>
            </w:r>
          </w:p>
        </w:tc>
      </w:tr>
      <w:tr w14:paraId="0D3B0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FDA2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1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D58A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具身智能机器人学院</w:t>
            </w:r>
          </w:p>
        </w:tc>
        <w:tc>
          <w:tcPr>
            <w:tcW w:w="11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34C3C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100</w:t>
            </w:r>
          </w:p>
        </w:tc>
        <w:tc>
          <w:tcPr>
            <w:tcW w:w="11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F9D31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</w:tr>
      <w:tr w14:paraId="1BBB7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07C2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14</w:t>
            </w:r>
          </w:p>
        </w:tc>
        <w:tc>
          <w:tcPr>
            <w:tcW w:w="1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896C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40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经济与管理学院</w:t>
            </w:r>
          </w:p>
        </w:tc>
        <w:tc>
          <w:tcPr>
            <w:tcW w:w="11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FC37E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800</w:t>
            </w:r>
          </w:p>
        </w:tc>
        <w:tc>
          <w:tcPr>
            <w:tcW w:w="11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4672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8</w:t>
            </w:r>
          </w:p>
        </w:tc>
      </w:tr>
      <w:tr w14:paraId="5E01B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7930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</w:t>
            </w:r>
          </w:p>
        </w:tc>
        <w:tc>
          <w:tcPr>
            <w:tcW w:w="1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A94F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艺术学院</w:t>
            </w:r>
          </w:p>
        </w:tc>
        <w:tc>
          <w:tcPr>
            <w:tcW w:w="11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92B5D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500</w:t>
            </w:r>
          </w:p>
        </w:tc>
        <w:tc>
          <w:tcPr>
            <w:tcW w:w="11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87C8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</w:tr>
      <w:tr w14:paraId="1468B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E27D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</w:t>
            </w:r>
          </w:p>
        </w:tc>
        <w:tc>
          <w:tcPr>
            <w:tcW w:w="1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B70E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40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光谷教育学院</w:t>
            </w:r>
          </w:p>
        </w:tc>
        <w:tc>
          <w:tcPr>
            <w:tcW w:w="11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B5296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500</w:t>
            </w:r>
          </w:p>
        </w:tc>
        <w:tc>
          <w:tcPr>
            <w:tcW w:w="11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B061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</w:tr>
      <w:tr w14:paraId="12F83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6A37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4952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合计</w:t>
            </w:r>
          </w:p>
        </w:tc>
        <w:tc>
          <w:tcPr>
            <w:tcW w:w="11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23BA5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36"/>
                <w:szCs w:val="3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7000</w:t>
            </w:r>
          </w:p>
        </w:tc>
        <w:tc>
          <w:tcPr>
            <w:tcW w:w="11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FD891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70</w:t>
            </w:r>
          </w:p>
        </w:tc>
      </w:tr>
    </w:tbl>
    <w:p w14:paraId="711DE836">
      <w:pPr>
        <w:tabs>
          <w:tab w:val="left" w:pos="1791"/>
        </w:tabs>
        <w:rPr>
          <w:rFonts w:ascii="黑体" w:hAnsi="黑体" w:eastAsia="黑体"/>
          <w:sz w:val="32"/>
          <w:szCs w:val="32"/>
        </w:rPr>
        <w:sectPr>
          <w:pgSz w:w="11906" w:h="16838"/>
          <w:pgMar w:top="1440" w:right="1276" w:bottom="1440" w:left="1274" w:header="851" w:footer="992" w:gutter="0"/>
          <w:cols w:space="425" w:num="1"/>
          <w:docGrid w:type="lines" w:linePitch="312" w:charSpace="0"/>
        </w:sectPr>
      </w:pPr>
    </w:p>
    <w:p w14:paraId="79F74CDF">
      <w:pPr>
        <w:rPr>
          <w:rFonts w:ascii="仿宋" w:hAnsi="仿宋" w:eastAsia="仿宋" w:cs="仿宋"/>
          <w:b/>
          <w:bCs/>
          <w:sz w:val="32"/>
          <w:szCs w:val="36"/>
        </w:rPr>
      </w:pPr>
      <w:r>
        <w:rPr>
          <w:rFonts w:hint="eastAsia" w:ascii="仿宋" w:hAnsi="仿宋" w:eastAsia="仿宋" w:cs="仿宋"/>
          <w:b/>
          <w:bCs/>
          <w:sz w:val="32"/>
          <w:szCs w:val="36"/>
        </w:rPr>
        <w:t>附件</w:t>
      </w:r>
      <w:r>
        <w:rPr>
          <w:rFonts w:ascii="仿宋" w:hAnsi="仿宋" w:eastAsia="仿宋" w:cs="仿宋"/>
          <w:b/>
          <w:bCs/>
          <w:sz w:val="32"/>
          <w:szCs w:val="36"/>
        </w:rPr>
        <w:t>2</w:t>
      </w:r>
      <w:r>
        <w:rPr>
          <w:rFonts w:hint="eastAsia" w:ascii="仿宋" w:hAnsi="仿宋" w:eastAsia="仿宋" w:cs="仿宋"/>
          <w:b/>
          <w:bCs/>
          <w:sz w:val="32"/>
          <w:szCs w:val="36"/>
        </w:rPr>
        <w:t>：站位图</w:t>
      </w:r>
    </w:p>
    <w:p w14:paraId="020BF405">
      <w:pPr>
        <w:spacing w:line="400" w:lineRule="exact"/>
        <w:ind w:firstLine="640" w:firstLineChars="200"/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各学院按图表所示区域面向主席台有序站位，列数如图所示，每列</w:t>
      </w:r>
      <w:r>
        <w:rPr>
          <w:rFonts w:hint="eastAsia" w:ascii="仿宋" w:hAnsi="仿宋" w:eastAsia="仿宋" w:cs="仿宋"/>
          <w:sz w:val="32"/>
          <w:szCs w:val="36"/>
          <w:lang w:val="en-US" w:eastAsia="zh-CN"/>
        </w:rPr>
        <w:t>100</w:t>
      </w:r>
      <w:r>
        <w:rPr>
          <w:rFonts w:hint="eastAsia" w:ascii="仿宋" w:hAnsi="仿宋" w:eastAsia="仿宋" w:cs="仿宋"/>
          <w:sz w:val="32"/>
          <w:szCs w:val="36"/>
        </w:rPr>
        <w:t>人。</w:t>
      </w:r>
    </w:p>
    <w:p w14:paraId="5E720F69">
      <w:pPr>
        <w:jc w:val="center"/>
        <w:rPr>
          <w:rFonts w:ascii="仿宋_GB2312" w:hAnsi="Calibri" w:eastAsia="仿宋_GB2312" w:cs="Times New Roman"/>
          <w:color w:val="FF0000"/>
          <w:sz w:val="32"/>
          <w:szCs w:val="32"/>
        </w:rPr>
      </w:pPr>
      <w:r>
        <w:rPr>
          <w:rFonts w:ascii="Calibri" w:hAnsi="Calibri" w:eastAsia="宋体" w:cs="Times New Roman"/>
        </w:rPr>
        <w:drawing>
          <wp:inline distT="0" distB="0" distL="114300" distR="114300">
            <wp:extent cx="7052945" cy="5166360"/>
            <wp:effectExtent l="0" t="0" r="14605" b="152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l="919" b="1334"/>
                    <a:stretch>
                      <a:fillRect/>
                    </a:stretch>
                  </pic:blipFill>
                  <pic:spPr>
                    <a:xfrm>
                      <a:off x="0" y="0"/>
                      <a:ext cx="7052945" cy="516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63091">
      <w:pPr>
        <w:rPr>
          <w:rFonts w:ascii="仿宋_GB2312" w:eastAsia="仿宋_GB2312"/>
          <w:color w:val="FF0000"/>
          <w:sz w:val="32"/>
          <w:szCs w:val="32"/>
        </w:rPr>
        <w:sectPr>
          <w:pgSz w:w="16838" w:h="11906" w:orient="landscape"/>
          <w:pgMar w:top="993" w:right="1440" w:bottom="1276" w:left="1440" w:header="851" w:footer="992" w:gutter="0"/>
          <w:cols w:space="425" w:num="1"/>
          <w:docGrid w:type="lines" w:linePitch="312" w:charSpace="0"/>
        </w:sectPr>
      </w:pPr>
    </w:p>
    <w:p w14:paraId="0AD2CF06">
      <w:pPr>
        <w:spacing w:line="560" w:lineRule="exact"/>
        <w:ind w:firstLine="640" w:firstLineChars="200"/>
        <w:rPr>
          <w:rFonts w:ascii="仿宋_GB2312" w:hAnsi="Calibri" w:eastAsia="仿宋_GB2312" w:cs="Times New Roman"/>
          <w:color w:val="FF0000"/>
          <w:sz w:val="32"/>
          <w:szCs w:val="32"/>
        </w:rPr>
      </w:pPr>
      <w:r>
        <w:rPr>
          <w:rFonts w:hint="eastAsia" w:ascii="仿宋_GB2312" w:hAnsi="Calibri" w:eastAsia="仿宋_GB2312" w:cs="Times New Roman"/>
          <w:color w:val="FF0000"/>
          <w:sz w:val="32"/>
          <w:szCs w:val="32"/>
        </w:rPr>
        <w:t>工作提醒：</w:t>
      </w:r>
    </w:p>
    <w:p w14:paraId="1C4208DA">
      <w:pPr>
        <w:spacing w:line="560" w:lineRule="exact"/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1.提前定位。</w:t>
      </w:r>
      <w:r>
        <w:rPr>
          <w:rFonts w:hint="eastAsia" w:ascii="仿宋_GB2312" w:hAnsi="Calibri" w:eastAsia="仿宋_GB2312" w:cs="Times New Roman"/>
          <w:sz w:val="32"/>
          <w:szCs w:val="32"/>
        </w:rPr>
        <w:t>拿院旗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仿宋_GB2312" w:hAnsi="Calibri" w:eastAsia="仿宋_GB2312" w:cs="Times New Roman"/>
          <w:sz w:val="32"/>
          <w:szCs w:val="32"/>
        </w:rPr>
        <w:t>院牌的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2名</w:t>
      </w:r>
      <w:r>
        <w:rPr>
          <w:rFonts w:hint="eastAsia" w:ascii="仿宋_GB2312" w:hAnsi="Calibri" w:eastAsia="仿宋_GB2312" w:cs="Times New Roman"/>
          <w:sz w:val="32"/>
          <w:szCs w:val="32"/>
        </w:rPr>
        <w:t>同学需提前到达指定位置，学院根据站位图提前做好班级站位划分。</w:t>
      </w:r>
    </w:p>
    <w:p w14:paraId="1B754499">
      <w:pPr>
        <w:spacing w:line="560" w:lineRule="exact"/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2.按标站位。</w:t>
      </w:r>
      <w:r>
        <w:rPr>
          <w:rFonts w:hint="eastAsia" w:ascii="仿宋_GB2312" w:hAnsi="Calibri" w:eastAsia="仿宋_GB2312" w:cs="Times New Roman"/>
          <w:sz w:val="32"/>
          <w:szCs w:val="32"/>
        </w:rPr>
        <w:t>学院方阵按照院旗、老师代表和学生代表的次序构成。</w:t>
      </w:r>
    </w:p>
    <w:p w14:paraId="7AA5DA77">
      <w:pPr>
        <w:spacing w:line="560" w:lineRule="exact"/>
        <w:ind w:firstLine="640" w:firstLineChars="200"/>
        <w:rPr>
          <w:rFonts w:ascii="Calibri" w:hAnsi="Calibri" w:eastAsia="仿宋_GB2312" w:cs="Times New Roman"/>
        </w:rPr>
      </w:pPr>
      <w:r>
        <w:rPr>
          <w:rFonts w:hint="eastAsia" w:ascii="黑体" w:hAnsi="黑体" w:eastAsia="黑体" w:cs="Times New Roman"/>
          <w:sz w:val="32"/>
          <w:szCs w:val="32"/>
        </w:rPr>
        <w:t>3</w:t>
      </w:r>
      <w:r>
        <w:rPr>
          <w:rFonts w:ascii="黑体" w:hAnsi="黑体" w:eastAsia="黑体" w:cs="Times New Roman"/>
          <w:sz w:val="32"/>
          <w:szCs w:val="32"/>
        </w:rPr>
        <w:t>.</w:t>
      </w:r>
      <w:r>
        <w:rPr>
          <w:rFonts w:hint="eastAsia" w:ascii="黑体" w:hAnsi="黑体" w:eastAsia="黑体" w:cs="Times New Roman"/>
          <w:sz w:val="32"/>
          <w:szCs w:val="32"/>
        </w:rPr>
        <w:t>工作到位。</w:t>
      </w:r>
      <w:r>
        <w:rPr>
          <w:rFonts w:hint="eastAsia" w:ascii="仿宋_GB2312" w:hAnsi="Calibri" w:eastAsia="仿宋_GB2312" w:cs="Times New Roman"/>
          <w:sz w:val="32"/>
          <w:szCs w:val="32"/>
        </w:rPr>
        <w:t>请各学院提前做好人员组织和宣传工作，利用周末晚点名、班团会等提前进行布置和进行安全教育，在升旗仪式现场根据口令整理队伍，安排专人做人员引导和疏散。</w:t>
      </w:r>
    </w:p>
    <w:p w14:paraId="5E45D87B">
      <w:pPr>
        <w:rPr>
          <w:rFonts w:ascii="Calibri" w:hAnsi="Calibri" w:eastAsia="宋体" w:cs="Times New Roman"/>
        </w:rPr>
      </w:pPr>
    </w:p>
    <w:p w14:paraId="3C7D1E48">
      <w:pPr>
        <w:spacing w:line="560" w:lineRule="exact"/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</w:p>
    <w:p w14:paraId="11EA1AE8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 w14:paraId="00C316A9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713B7AF6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19B1D7E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DF3D357-DD92-47B9-88BD-3C804CED877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3B48995-4AC6-453F-84A2-36FAF0BCC8E6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C609B96-598F-4706-9CE9-5CD3256E4A09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8F4E55CE-9227-47CA-BC32-65BBC9CAFE0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6F56E6B4-4616-471A-8518-1DDF1A78D4B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4A1A05"/>
    <w:rsid w:val="0CDB44EB"/>
    <w:rsid w:val="1F6B6783"/>
    <w:rsid w:val="274A1A05"/>
    <w:rsid w:val="294522B3"/>
    <w:rsid w:val="2EA00B55"/>
    <w:rsid w:val="3E94568C"/>
    <w:rsid w:val="47FC3815"/>
    <w:rsid w:val="60D91B74"/>
    <w:rsid w:val="7048179B"/>
    <w:rsid w:val="761B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2026-08-24T01:14:00Z</dcterms:created>
  <dc:creator>骆夏君</dc:creator>
  <cp:lastModifiedBy>骆夏君</cp:lastModifiedBy>
  <dcterms:modified xsi:type="dcterms:W3CDTF">2026-08-24T01:24:23Z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515E26F794994A22998F1C40B766F6FE_13</vt:lpwstr>
  </property>
  <property fmtid="{D5CDD505-2E9C-101B-9397-08002B2CF9AE}" pid="4" name="KSOTemplateDocerSaveRecord">
    <vt:lpwstr>eyJoZGlkIjoiOTAxNTllMGZmNmE2NzUwOWQ5YTQyMDU0MzYwZTE0ODYiLCJ1c2VySWQiOiIxNDc2ODE0MDY5In0=</vt:lpwstr>
  </property>
</Properties>
</file>